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803"/>
        <w:gridCol w:w="3628"/>
      </w:tblGrid>
      <w:tr>
        <w:tc>
          <w:tcPr>
            <w:tcW w:type="dxa" w:w="5216"/>
            <w:tcBorders>
              <w:top w:val="nil"/>
              <w:left w:val="nil"/>
              <w:bottom w:val="single" w:sz="6" w:color="DADCE0"/>
              <w:right w:val="nil"/>
            </w:tcBorders>
            <w:tcMar>
              <w:top w:w="20" w:type="dxa"/>
              <w:left w:w="0" w:type="dxa"/>
              <w:bottom w:w="60" w:type="dxa"/>
              <w:right w:w="0" w:type="dxa"/>
            </w:tcMar>
          </w:tcPr>
          <w:p>
            <w:pPr>
              <w:spacing w:before="0" w:after="0" w:line="240" w:lineRule="auto"/>
            </w:pPr>
            <w:r>
              <w:rPr>
                <w:rFonts w:ascii="Calibri" w:hAnsi="Calibri" w:cs="Calibri"/>
                <w:b/>
                <w:i w:val="0"/>
                <w:color w:val="174EA6"/>
                <w:sz w:val="15"/>
              </w:rPr>
              <w:t>RADAR · ONE-PAGE DIAGNOSTIC</w:t>
            </w:r>
          </w:p>
        </w:tc>
        <w:tc>
          <w:tcPr>
            <w:tcW w:type="dxa" w:w="5216"/>
            <w:tcBorders>
              <w:top w:val="nil"/>
              <w:left w:val="nil"/>
              <w:bottom w:val="single" w:sz="6" w:color="DADCE0"/>
              <w:right w:val="nil"/>
            </w:tcBorders>
            <w:tcMar>
              <w:top w:w="20" w:type="dxa"/>
              <w:left w:w="0" w:type="dxa"/>
              <w:bottom w:w="60" w:type="dxa"/>
              <w:right w:w="0" w:type="dxa"/>
            </w:tcMar>
          </w:tcPr>
          <w:p>
            <w:pPr>
              <w:spacing w:before="0" w:after="0" w:line="240" w:lineRule="auto"/>
              <w:jc w:val="right"/>
            </w:pPr>
            <w:r>
              <w:rPr>
                <w:rFonts w:ascii="Calibri" w:hAnsi="Calibri" w:cs="Calibri"/>
                <w:b w:val="0"/>
                <w:i w:val="0"/>
                <w:color w:val="5F6368"/>
                <w:sz w:val="15"/>
              </w:rPr>
              <w:t>For VP+ readers · 2026</w:t>
            </w:r>
          </w:p>
        </w:tc>
      </w:tr>
    </w:tbl>
    <w:p>
      <w:pPr>
        <w:spacing w:before="80" w:after="40" w:line="250" w:lineRule="auto"/>
      </w:pPr>
      <w:r>
        <w:rPr>
          <w:rFonts w:ascii="Calibri" w:hAnsi="Calibri" w:cs="Calibri"/>
          <w:b/>
          <w:i w:val="0"/>
          <w:color w:val="202124"/>
          <w:sz w:val="48"/>
        </w:rPr>
        <w:t>RADAR.</w:t>
      </w:r>
      <w:r>
        <w:rPr>
          <w:rFonts w:ascii="Calibri" w:hAnsi="Calibri" w:cs="Calibri"/>
          <w:b/>
          <w:i w:val="0"/>
          <w:color w:val="174EA6"/>
          <w:sz w:val="28"/>
        </w:rPr>
        <w:t xml:space="preserve">  Five signals every AI transformation must transmit.</w:t>
      </w:r>
    </w:p>
    <w:p>
      <w:pPr>
        <w:spacing w:before="0" w:after="160" w:line="336" w:lineRule="auto"/>
      </w:pPr>
      <w:r>
        <w:rPr>
          <w:rFonts w:ascii="Calibri" w:hAnsi="Calibri" w:cs="Calibri"/>
          <w:b w:val="0"/>
          <w:i/>
          <w:color w:val="3C4043"/>
          <w:sz w:val="20"/>
        </w:rPr>
        <w:t>Reimagination · Agentification · Data and Context · Absorption · Rails. Miss one and the outcome is predictable. The reverse-lookup names what's broken in language a leader recognizes inside a minute.</w:t>
      </w:r>
    </w:p>
    <w:tbl>
      <w:tblPr>
        <w:tblW w:type="auto" w:w="0"/>
        <w:tblLayout w:type="fixed"/>
        <w:tblLook w:firstColumn="1" w:firstRow="1" w:lastColumn="0" w:lastRow="0" w:noHBand="0" w:noVBand="1" w:val="04A0"/>
        <w:tblW w:w="10440" w:type="dxa"/>
        <w:tblLayout w:type="fixed"/>
      </w:tblPr>
      <w:tblGrid>
        <w:gridCol w:w="1474"/>
        <w:gridCol w:w="1791"/>
        <w:gridCol w:w="1791"/>
        <w:gridCol w:w="1791"/>
        <w:gridCol w:w="1791"/>
        <w:gridCol w:w="1791"/>
      </w:tblGrid>
      <w:tblGrid>
        <w:gridCol w:w="1739"/>
        <w:gridCol w:w="1739"/>
        <w:gridCol w:w="1739"/>
        <w:gridCol w:w="1739"/>
        <w:gridCol w:w="1739"/>
        <w:gridCol w:w="1739"/>
      </w:tblGrid>
      <w:tr>
        <w:tc>
          <w:tcPr>
            <w:tcW w:type="dxa" w:w="1739"/>
            <w:shd w:val="clear" w:color="auto" w:fill="0A2A5E"/>
            <w:tcBorders>
              <w:top w:val="single" w:sz="2" w:color="0A2A5E"/>
              <w:left w:val="single" w:sz="2" w:color="0A2A5E"/>
              <w:bottom w:val="single" w:sz="2" w:color="0A2A5E"/>
              <w:right w:val="single" w:sz="2" w:color="0A2A5E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r/>
          </w:p>
        </w:tc>
        <w:tc>
          <w:tcPr>
            <w:tcW w:type="dxa" w:w="1739"/>
            <w:shd w:val="clear" w:color="auto" w:fill="0A2A5E"/>
            <w:tcBorders>
              <w:top w:val="single" w:sz="2" w:color="0A2A5E"/>
              <w:left w:val="single" w:sz="2" w:color="0A2A5E"/>
              <w:bottom w:val="single" w:sz="2" w:color="0A2A5E"/>
              <w:right w:val="single" w:sz="2" w:color="0A2A5E"/>
            </w:tcBorders>
            <w:tcMar>
              <w:top w:w="120" w:type="dxa"/>
              <w:left w:w="130" w:type="dxa"/>
              <w:bottom w:w="120" w:type="dxa"/>
              <w:right w:w="130" w:type="dxa"/>
            </w:tcMar>
          </w:tcPr>
          <w:p>
            <w:pPr>
              <w:spacing w:before="0" w:after="0" w:line="252" w:lineRule="auto"/>
            </w:pPr>
            <w:r/>
            <w:r>
              <w:rPr>
                <w:rFonts w:ascii="Calibri" w:hAnsi="Calibri" w:cs="Calibri"/>
                <w:b/>
                <w:i w:val="0"/>
                <w:color w:val="9FD0FF"/>
                <w:sz w:val="24"/>
              </w:rPr>
              <w:t xml:space="preserve">R  </w:t>
            </w:r>
            <w:r>
              <w:rPr>
                <w:rFonts w:ascii="Calibri" w:hAnsi="Calibri" w:cs="Calibri"/>
                <w:b/>
                <w:i w:val="0"/>
                <w:color w:val="FFFFFF"/>
                <w:sz w:val="22"/>
              </w:rPr>
              <w:t>Reimagination</w:t>
            </w:r>
          </w:p>
        </w:tc>
        <w:tc>
          <w:tcPr>
            <w:tcW w:type="dxa" w:w="1739"/>
            <w:shd w:val="clear" w:color="auto" w:fill="0A2A5E"/>
            <w:tcBorders>
              <w:top w:val="single" w:sz="2" w:color="0A2A5E"/>
              <w:left w:val="single" w:sz="2" w:color="0A2A5E"/>
              <w:bottom w:val="single" w:sz="2" w:color="0A2A5E"/>
              <w:right w:val="single" w:sz="2" w:color="0A2A5E"/>
            </w:tcBorders>
            <w:tcMar>
              <w:top w:w="120" w:type="dxa"/>
              <w:left w:w="130" w:type="dxa"/>
              <w:bottom w:w="120" w:type="dxa"/>
              <w:right w:w="130" w:type="dxa"/>
            </w:tcMar>
          </w:tcPr>
          <w:p>
            <w:pPr>
              <w:spacing w:before="0" w:after="0" w:line="252" w:lineRule="auto"/>
            </w:pPr>
            <w:r/>
            <w:r>
              <w:rPr>
                <w:rFonts w:ascii="Calibri" w:hAnsi="Calibri" w:cs="Calibri"/>
                <w:b/>
                <w:i w:val="0"/>
                <w:color w:val="9FD0FF"/>
                <w:sz w:val="24"/>
              </w:rPr>
              <w:t xml:space="preserve">A  </w:t>
            </w:r>
            <w:r>
              <w:rPr>
                <w:rFonts w:ascii="Calibri" w:hAnsi="Calibri" w:cs="Calibri"/>
                <w:b/>
                <w:i w:val="0"/>
                <w:color w:val="FFFFFF"/>
                <w:sz w:val="22"/>
              </w:rPr>
              <w:t>Agentification</w:t>
            </w:r>
          </w:p>
        </w:tc>
        <w:tc>
          <w:tcPr>
            <w:tcW w:type="dxa" w:w="1739"/>
            <w:shd w:val="clear" w:color="auto" w:fill="0A2A5E"/>
            <w:tcBorders>
              <w:top w:val="single" w:sz="2" w:color="0A2A5E"/>
              <w:left w:val="single" w:sz="2" w:color="0A2A5E"/>
              <w:bottom w:val="single" w:sz="2" w:color="0A2A5E"/>
              <w:right w:val="single" w:sz="2" w:color="0A2A5E"/>
            </w:tcBorders>
            <w:tcMar>
              <w:top w:w="120" w:type="dxa"/>
              <w:left w:w="130" w:type="dxa"/>
              <w:bottom w:w="120" w:type="dxa"/>
              <w:right w:w="130" w:type="dxa"/>
            </w:tcMar>
          </w:tcPr>
          <w:p>
            <w:pPr>
              <w:spacing w:before="0" w:after="0" w:line="252" w:lineRule="auto"/>
            </w:pPr>
            <w:r/>
            <w:r>
              <w:rPr>
                <w:rFonts w:ascii="Calibri" w:hAnsi="Calibri" w:cs="Calibri"/>
                <w:b/>
                <w:i w:val="0"/>
                <w:color w:val="9FD0FF"/>
                <w:sz w:val="24"/>
              </w:rPr>
              <w:t xml:space="preserve">D  </w:t>
            </w:r>
            <w:r>
              <w:rPr>
                <w:rFonts w:ascii="Calibri" w:hAnsi="Calibri" w:cs="Calibri"/>
                <w:b/>
                <w:i w:val="0"/>
                <w:color w:val="FFFFFF"/>
                <w:sz w:val="22"/>
              </w:rPr>
              <w:t>Data &amp; Context</w:t>
            </w:r>
          </w:p>
        </w:tc>
        <w:tc>
          <w:tcPr>
            <w:tcW w:type="dxa" w:w="1739"/>
            <w:shd w:val="clear" w:color="auto" w:fill="0A2A5E"/>
            <w:tcBorders>
              <w:top w:val="single" w:sz="2" w:color="0A2A5E"/>
              <w:left w:val="single" w:sz="2" w:color="0A2A5E"/>
              <w:bottom w:val="single" w:sz="2" w:color="0A2A5E"/>
              <w:right w:val="single" w:sz="2" w:color="0A2A5E"/>
            </w:tcBorders>
            <w:tcMar>
              <w:top w:w="120" w:type="dxa"/>
              <w:left w:w="130" w:type="dxa"/>
              <w:bottom w:w="120" w:type="dxa"/>
              <w:right w:w="130" w:type="dxa"/>
            </w:tcMar>
          </w:tcPr>
          <w:p>
            <w:pPr>
              <w:spacing w:before="0" w:after="0" w:line="252" w:lineRule="auto"/>
            </w:pPr>
            <w:r/>
            <w:r>
              <w:rPr>
                <w:rFonts w:ascii="Calibri" w:hAnsi="Calibri" w:cs="Calibri"/>
                <w:b/>
                <w:i w:val="0"/>
                <w:color w:val="9FD0FF"/>
                <w:sz w:val="24"/>
              </w:rPr>
              <w:t xml:space="preserve">A  </w:t>
            </w:r>
            <w:r>
              <w:rPr>
                <w:rFonts w:ascii="Calibri" w:hAnsi="Calibri" w:cs="Calibri"/>
                <w:b/>
                <w:i w:val="0"/>
                <w:color w:val="FFFFFF"/>
                <w:sz w:val="22"/>
              </w:rPr>
              <w:t>Absorption</w:t>
            </w:r>
          </w:p>
        </w:tc>
        <w:tc>
          <w:tcPr>
            <w:tcW w:type="dxa" w:w="1739"/>
            <w:shd w:val="clear" w:color="auto" w:fill="0A2A5E"/>
            <w:tcBorders>
              <w:top w:val="single" w:sz="2" w:color="0A2A5E"/>
              <w:left w:val="single" w:sz="2" w:color="0A2A5E"/>
              <w:bottom w:val="single" w:sz="2" w:color="0A2A5E"/>
              <w:right w:val="single" w:sz="2" w:color="0A2A5E"/>
            </w:tcBorders>
            <w:tcMar>
              <w:top w:w="120" w:type="dxa"/>
              <w:left w:w="130" w:type="dxa"/>
              <w:bottom w:w="120" w:type="dxa"/>
              <w:right w:w="130" w:type="dxa"/>
            </w:tcMar>
          </w:tcPr>
          <w:p>
            <w:pPr>
              <w:spacing w:before="0" w:after="0" w:line="252" w:lineRule="auto"/>
            </w:pPr>
            <w:r/>
            <w:r>
              <w:rPr>
                <w:rFonts w:ascii="Calibri" w:hAnsi="Calibri" w:cs="Calibri"/>
                <w:b/>
                <w:i w:val="0"/>
                <w:color w:val="9FD0FF"/>
                <w:sz w:val="24"/>
              </w:rPr>
              <w:t xml:space="preserve">R  </w:t>
            </w:r>
            <w:r>
              <w:rPr>
                <w:rFonts w:ascii="Calibri" w:hAnsi="Calibri" w:cs="Calibri"/>
                <w:b/>
                <w:i w:val="0"/>
                <w:color w:val="FFFFFF"/>
                <w:sz w:val="22"/>
              </w:rPr>
              <w:t>Rails</w:t>
            </w:r>
          </w:p>
        </w:tc>
      </w:tr>
      <w:tr>
        <w:tc>
          <w:tcPr>
            <w:tcW w:type="dxa" w:w="1739"/>
            <w:shd w:val="clear" w:color="auto" w:fill="F1F8F3"/>
            <w:tcBorders>
              <w:top w:val="single" w:sz="2" w:color="C8D6EE"/>
              <w:left w:val="single" w:sz="2" w:color="C8D6EE"/>
              <w:bottom w:val="single" w:sz="2" w:color="C8D6EE"/>
              <w:right w:val="single" w:sz="2" w:color="C8D6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before="0" w:after="0" w:line="252" w:lineRule="auto"/>
            </w:pPr>
            <w:r/>
            <w:r>
              <w:rPr>
                <w:rFonts w:ascii="Calibri" w:hAnsi="Calibri" w:cs="Calibri"/>
                <w:b/>
                <w:i w:val="0"/>
                <w:color w:val="0D9036"/>
                <w:sz w:val="18"/>
              </w:rPr>
              <w:t>WHEN HEALTHY</w:t>
            </w:r>
          </w:p>
        </w:tc>
        <w:tc>
          <w:tcPr>
            <w:tcW w:type="dxa" w:w="1739"/>
            <w:shd w:val="clear" w:color="auto" w:fill="FFFFFF"/>
            <w:tcBorders>
              <w:top w:val="single" w:sz="4" w:color="C8D6EE"/>
              <w:left w:val="single" w:sz="4" w:color="C8D6EE"/>
              <w:bottom w:val="single" w:sz="4" w:color="C8D6EE"/>
              <w:right w:val="single" w:sz="4" w:color="C8D6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0" w:after="0" w:line="317" w:lineRule="auto"/>
            </w:pPr>
            <w:r/>
            <w:r>
              <w:rPr>
                <w:rFonts w:ascii="Calibri" w:hAnsi="Calibri" w:cs="Calibri"/>
                <w:b w:val="0"/>
                <w:i w:val="0"/>
                <w:color w:val="1A1F24"/>
                <w:sz w:val="19"/>
              </w:rPr>
              <w:t>Workflows are redesigned around AI capability before AI is deployed inside them. The org is willing to retire its own processes.</w:t>
            </w:r>
          </w:p>
        </w:tc>
        <w:tc>
          <w:tcPr>
            <w:tcW w:type="dxa" w:w="1739"/>
            <w:shd w:val="clear" w:color="auto" w:fill="FFFFFF"/>
            <w:tcBorders>
              <w:top w:val="single" w:sz="4" w:color="C8D6EE"/>
              <w:left w:val="single" w:sz="4" w:color="C8D6EE"/>
              <w:bottom w:val="single" w:sz="4" w:color="C8D6EE"/>
              <w:right w:val="single" w:sz="4" w:color="C8D6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0" w:after="0" w:line="317" w:lineRule="auto"/>
            </w:pPr>
            <w:r/>
            <w:r>
              <w:rPr>
                <w:rFonts w:ascii="Calibri" w:hAnsi="Calibri" w:cs="Calibri"/>
                <w:b w:val="0"/>
                <w:i w:val="0"/>
                <w:color w:val="1A1F24"/>
                <w:sz w:val="19"/>
              </w:rPr>
              <w:t>Agents own end-to-end outcomes (a quota, an SLA, a measurable lag indicator), not just a step in a human workflow. Their owner is named.</w:t>
            </w:r>
          </w:p>
        </w:tc>
        <w:tc>
          <w:tcPr>
            <w:tcW w:type="dxa" w:w="1739"/>
            <w:shd w:val="clear" w:color="auto" w:fill="FFFFFF"/>
            <w:tcBorders>
              <w:top w:val="single" w:sz="4" w:color="C8D6EE"/>
              <w:left w:val="single" w:sz="4" w:color="C8D6EE"/>
              <w:bottom w:val="single" w:sz="4" w:color="C8D6EE"/>
              <w:right w:val="single" w:sz="4" w:color="C8D6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0" w:after="0" w:line="317" w:lineRule="auto"/>
            </w:pPr>
            <w:r/>
            <w:r>
              <w:rPr>
                <w:rFonts w:ascii="Calibri" w:hAnsi="Calibri" w:cs="Calibri"/>
                <w:b w:val="0"/>
                <w:i w:val="0"/>
                <w:color w:val="1A1F24"/>
                <w:sz w:val="19"/>
              </w:rPr>
              <w:t>Agents are grounded in the company's specific data, decisions, customers, and history. The output looks like it could only have come from this company.</w:t>
            </w:r>
          </w:p>
        </w:tc>
        <w:tc>
          <w:tcPr>
            <w:tcW w:type="dxa" w:w="1739"/>
            <w:shd w:val="clear" w:color="auto" w:fill="FFFFFF"/>
            <w:tcBorders>
              <w:top w:val="single" w:sz="4" w:color="C8D6EE"/>
              <w:left w:val="single" w:sz="4" w:color="C8D6EE"/>
              <w:bottom w:val="single" w:sz="4" w:color="C8D6EE"/>
              <w:right w:val="single" w:sz="4" w:color="C8D6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0" w:after="0" w:line="317" w:lineRule="auto"/>
            </w:pPr>
            <w:r/>
            <w:r>
              <w:rPr>
                <w:rFonts w:ascii="Calibri" w:hAnsi="Calibri" w:cs="Calibri"/>
                <w:b w:val="0"/>
                <w:i w:val="0"/>
                <w:color w:val="1A1F24"/>
                <w:sz w:val="19"/>
              </w:rPr>
              <w:t>Working pilots compound. The third team adopts faster than the first; the tenth, faster than the third. Adoption time is a tracked metric.</w:t>
            </w:r>
          </w:p>
        </w:tc>
        <w:tc>
          <w:tcPr>
            <w:tcW w:type="dxa" w:w="1739"/>
            <w:shd w:val="clear" w:color="auto" w:fill="FFFFFF"/>
            <w:tcBorders>
              <w:top w:val="single" w:sz="4" w:color="C8D6EE"/>
              <w:left w:val="single" w:sz="4" w:color="C8D6EE"/>
              <w:bottom w:val="single" w:sz="4" w:color="C8D6EE"/>
              <w:right w:val="single" w:sz="4" w:color="C8D6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0" w:after="0" w:line="317" w:lineRule="auto"/>
            </w:pPr>
            <w:r/>
            <w:r>
              <w:rPr>
                <w:rFonts w:ascii="Calibri" w:hAnsi="Calibri" w:cs="Calibri"/>
                <w:b w:val="0"/>
                <w:i w:val="0"/>
                <w:color w:val="1A1F24"/>
                <w:sz w:val="19"/>
              </w:rPr>
              <w:t>Governance, evals, and kill-switches are designed in from week one, not bolted on at the gate. Leaders sign off because the rails are visible, not because they were briefed.</w:t>
            </w:r>
          </w:p>
        </w:tc>
      </w:tr>
      <w:tr>
        <w:tc>
          <w:tcPr>
            <w:tcW w:type="dxa" w:w="1739"/>
            <w:shd w:val="clear" w:color="auto" w:fill="FCE8E6"/>
            <w:tcBorders>
              <w:top w:val="single" w:sz="2" w:color="F1C5C0"/>
              <w:left w:val="single" w:sz="2" w:color="F1C5C0"/>
              <w:bottom w:val="single" w:sz="2" w:color="F1C5C0"/>
              <w:right w:val="single" w:sz="2" w:color="F1C5C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before="0" w:after="0" w:line="252" w:lineRule="auto"/>
            </w:pPr>
            <w:r/>
            <w:r>
              <w:rPr>
                <w:rFonts w:ascii="Calibri" w:hAnsi="Calibri" w:cs="Calibri"/>
                <w:b/>
                <w:i w:val="0"/>
                <w:color w:val="C5221F"/>
                <w:sz w:val="18"/>
              </w:rPr>
              <w:t>WHEN MISSING</w:t>
            </w:r>
          </w:p>
        </w:tc>
        <w:tc>
          <w:tcPr>
            <w:tcW w:type="dxa" w:w="1739"/>
            <w:shd w:val="clear" w:color="auto" w:fill="FCE8E6"/>
            <w:tcBorders>
              <w:top w:val="single" w:sz="4" w:color="F1C5C0"/>
              <w:left w:val="single" w:sz="4" w:color="F1C5C0"/>
              <w:bottom w:val="single" w:sz="4" w:color="F1C5C0"/>
              <w:right w:val="single" w:sz="4" w:color="F1C5C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0" w:after="40" w:line="283" w:lineRule="auto"/>
            </w:pPr>
            <w:r/>
            <w:r>
              <w:rPr>
                <w:rFonts w:ascii="Calibri" w:hAnsi="Calibri" w:cs="Calibri"/>
                <w:b/>
                <w:i w:val="0"/>
                <w:color w:val="C5221F"/>
                <w:sz w:val="20"/>
              </w:rPr>
              <w:t>Faster Horses</w:t>
            </w:r>
          </w:p>
          <w:p>
            <w:pPr>
              <w:spacing w:before="0" w:after="0" w:line="317" w:lineRule="auto"/>
            </w:pPr>
            <w:r>
              <w:rPr>
                <w:rFonts w:ascii="Calibri" w:hAnsi="Calibri" w:cs="Calibri"/>
                <w:b w:val="0"/>
                <w:i w:val="0"/>
                <w:color w:val="1A1F24"/>
                <w:sz w:val="19"/>
              </w:rPr>
              <w:t>AI accelerating workflows that should have been retired. The org gets faster cowpaths and calls it transformation.</w:t>
            </w:r>
          </w:p>
        </w:tc>
        <w:tc>
          <w:tcPr>
            <w:tcW w:type="dxa" w:w="1739"/>
            <w:shd w:val="clear" w:color="auto" w:fill="FCE8E6"/>
            <w:tcBorders>
              <w:top w:val="single" w:sz="4" w:color="F1C5C0"/>
              <w:left w:val="single" w:sz="4" w:color="F1C5C0"/>
              <w:bottom w:val="single" w:sz="4" w:color="F1C5C0"/>
              <w:right w:val="single" w:sz="4" w:color="F1C5C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0" w:after="40" w:line="283" w:lineRule="auto"/>
            </w:pPr>
            <w:r/>
            <w:r>
              <w:rPr>
                <w:rFonts w:ascii="Calibri" w:hAnsi="Calibri" w:cs="Calibri"/>
                <w:b/>
                <w:i w:val="0"/>
                <w:color w:val="C5221F"/>
                <w:sz w:val="20"/>
              </w:rPr>
              <w:t>PowerPoint AI</w:t>
            </w:r>
          </w:p>
          <w:p>
            <w:pPr>
              <w:spacing w:before="0" w:after="0" w:line="317" w:lineRule="auto"/>
            </w:pPr>
            <w:r>
              <w:rPr>
                <w:rFonts w:ascii="Calibri" w:hAnsi="Calibri" w:cs="Calibri"/>
                <w:b w:val="0"/>
                <w:i w:val="0"/>
                <w:color w:val="1A1F24"/>
                <w:sz w:val="19"/>
              </w:rPr>
              <w:t>Strategy decks proliferate; production agents don't. Activity is measured (pilots launched, models trained); outcome (work an agent owns end-to-end) isn't.</w:t>
            </w:r>
          </w:p>
        </w:tc>
        <w:tc>
          <w:tcPr>
            <w:tcW w:type="dxa" w:w="1739"/>
            <w:shd w:val="clear" w:color="auto" w:fill="FCE8E6"/>
            <w:tcBorders>
              <w:top w:val="single" w:sz="4" w:color="F1C5C0"/>
              <w:left w:val="single" w:sz="4" w:color="F1C5C0"/>
              <w:bottom w:val="single" w:sz="4" w:color="F1C5C0"/>
              <w:right w:val="single" w:sz="4" w:color="F1C5C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0" w:after="40" w:line="283" w:lineRule="auto"/>
            </w:pPr>
            <w:r/>
            <w:r>
              <w:rPr>
                <w:rFonts w:ascii="Calibri" w:hAnsi="Calibri" w:cs="Calibri"/>
                <w:b/>
                <w:i w:val="0"/>
                <w:color w:val="C5221F"/>
                <w:sz w:val="20"/>
              </w:rPr>
              <w:t>Hallucination</w:t>
            </w:r>
          </w:p>
          <w:p>
            <w:pPr>
              <w:spacing w:before="0" w:after="0" w:line="317" w:lineRule="auto"/>
            </w:pPr>
            <w:r>
              <w:rPr>
                <w:rFonts w:ascii="Calibri" w:hAnsi="Calibri" w:cs="Calibri"/>
                <w:b w:val="0"/>
                <w:i w:val="0"/>
                <w:color w:val="1A1F24"/>
                <w:sz w:val="19"/>
              </w:rPr>
              <w:t>Generic outputs indistinguishable from competitors using the same models. The moat is the model's, not yours; switching costs are zero.</w:t>
            </w:r>
          </w:p>
        </w:tc>
        <w:tc>
          <w:tcPr>
            <w:tcW w:type="dxa" w:w="1739"/>
            <w:shd w:val="clear" w:color="auto" w:fill="FCE8E6"/>
            <w:tcBorders>
              <w:top w:val="single" w:sz="4" w:color="F1C5C0"/>
              <w:left w:val="single" w:sz="4" w:color="F1C5C0"/>
              <w:bottom w:val="single" w:sz="4" w:color="F1C5C0"/>
              <w:right w:val="single" w:sz="4" w:color="F1C5C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0" w:after="40" w:line="283" w:lineRule="auto"/>
            </w:pPr>
            <w:r/>
            <w:r>
              <w:rPr>
                <w:rFonts w:ascii="Calibri" w:hAnsi="Calibri" w:cs="Calibri"/>
                <w:b/>
                <w:i w:val="0"/>
                <w:color w:val="C5221F"/>
                <w:sz w:val="20"/>
              </w:rPr>
              <w:t>Organ Rejection</w:t>
            </w:r>
          </w:p>
          <w:p>
            <w:pPr>
              <w:spacing w:before="0" w:after="0" w:line="317" w:lineRule="auto"/>
            </w:pPr>
            <w:r>
              <w:rPr>
                <w:rFonts w:ascii="Calibri" w:hAnsi="Calibri" w:cs="Calibri"/>
                <w:b w:val="0"/>
                <w:i w:val="0"/>
                <w:color w:val="1A1F24"/>
                <w:sz w:val="19"/>
              </w:rPr>
              <w:t>A working pilot in one team that the rest of the org won't adopt. Each new team starts from zero. AI transformations don't average; they multiply, or they don't.</w:t>
            </w:r>
          </w:p>
        </w:tc>
        <w:tc>
          <w:tcPr>
            <w:tcW w:type="dxa" w:w="1739"/>
            <w:shd w:val="clear" w:color="auto" w:fill="FCE8E6"/>
            <w:tcBorders>
              <w:top w:val="single" w:sz="4" w:color="F1C5C0"/>
              <w:left w:val="single" w:sz="4" w:color="F1C5C0"/>
              <w:bottom w:val="single" w:sz="4" w:color="F1C5C0"/>
              <w:right w:val="single" w:sz="4" w:color="F1C5C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0" w:after="40" w:line="283" w:lineRule="auto"/>
            </w:pPr>
            <w:r/>
            <w:r>
              <w:rPr>
                <w:rFonts w:ascii="Calibri" w:hAnsi="Calibri" w:cs="Calibri"/>
                <w:b/>
                <w:i w:val="0"/>
                <w:color w:val="C5221F"/>
                <w:sz w:val="20"/>
              </w:rPr>
              <w:t>Pilot Purgatory</w:t>
            </w:r>
          </w:p>
          <w:p>
            <w:pPr>
              <w:spacing w:before="0" w:after="0" w:line="317" w:lineRule="auto"/>
            </w:pPr>
            <w:r>
              <w:rPr>
                <w:rFonts w:ascii="Calibri" w:hAnsi="Calibri" w:cs="Calibri"/>
                <w:b w:val="0"/>
                <w:i w:val="0"/>
                <w:color w:val="1A1F24"/>
                <w:sz w:val="19"/>
              </w:rPr>
              <w:t>Endless POCs that never graduate because leadership won't sign off without governance, and governance is treated as a Phase 2 problem. The single largest hidden cost in enterprise AI.</w:t>
            </w:r>
          </w:p>
        </w:tc>
      </w:tr>
      <w:tr>
        <w:tc>
          <w:tcPr>
            <w:tcW w:type="dxa" w:w="1739"/>
            <w:shd w:val="clear" w:color="auto" w:fill="E8F0FE"/>
            <w:tcBorders>
              <w:top w:val="single" w:sz="2" w:color="C8D6EE"/>
              <w:left w:val="single" w:sz="2" w:color="C8D6EE"/>
              <w:bottom w:val="single" w:sz="2" w:color="C8D6EE"/>
              <w:right w:val="single" w:sz="2" w:color="C8D6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before="0" w:after="0" w:line="252" w:lineRule="auto"/>
            </w:pPr>
            <w:r/>
            <w:r>
              <w:rPr>
                <w:rFonts w:ascii="Calibri" w:hAnsi="Calibri" w:cs="Calibri"/>
                <w:b/>
                <w:i w:val="0"/>
                <w:color w:val="174EA6"/>
                <w:sz w:val="18"/>
              </w:rPr>
              <w:t>60-SECOND TEST</w:t>
            </w:r>
          </w:p>
        </w:tc>
        <w:tc>
          <w:tcPr>
            <w:tcW w:type="dxa" w:w="1739"/>
            <w:shd w:val="clear" w:color="auto" w:fill="F5F8FF"/>
            <w:tcBorders>
              <w:top w:val="single" w:sz="4" w:color="C8D6EE"/>
              <w:left w:val="single" w:sz="4" w:color="C8D6EE"/>
              <w:bottom w:val="single" w:sz="4" w:color="C8D6EE"/>
              <w:right w:val="single" w:sz="4" w:color="C8D6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0" w:after="0" w:line="317" w:lineRule="auto"/>
            </w:pPr>
            <w:r/>
            <w:r>
              <w:rPr>
                <w:rFonts w:ascii="Calibri" w:hAnsi="Calibri" w:cs="Calibri"/>
                <w:b w:val="0"/>
                <w:i/>
                <w:color w:val="3C4043"/>
                <w:sz w:val="19"/>
              </w:rPr>
              <w:t>Map the top 20 workflows by labor hours. Mark each: redesign, retire, or augment. If more than 70% are 'augment', the program is layering, not transforming.</w:t>
            </w:r>
          </w:p>
        </w:tc>
        <w:tc>
          <w:tcPr>
            <w:tcW w:type="dxa" w:w="1739"/>
            <w:shd w:val="clear" w:color="auto" w:fill="F5F8FF"/>
            <w:tcBorders>
              <w:top w:val="single" w:sz="4" w:color="C8D6EE"/>
              <w:left w:val="single" w:sz="4" w:color="C8D6EE"/>
              <w:bottom w:val="single" w:sz="4" w:color="C8D6EE"/>
              <w:right w:val="single" w:sz="4" w:color="C8D6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0" w:after="0" w:line="317" w:lineRule="auto"/>
            </w:pPr>
            <w:r/>
            <w:r>
              <w:rPr>
                <w:rFonts w:ascii="Calibri" w:hAnsi="Calibri" w:cs="Calibri"/>
                <w:b w:val="0"/>
                <w:i/>
                <w:color w:val="3C4043"/>
                <w:sz w:val="19"/>
              </w:rPr>
              <w:t>Count agents in production with a named owner and a quarterly outcome target. If the count is zero, you're at PowerPoint AI regardless of slide volume.</w:t>
            </w:r>
          </w:p>
        </w:tc>
        <w:tc>
          <w:tcPr>
            <w:tcW w:type="dxa" w:w="1739"/>
            <w:shd w:val="clear" w:color="auto" w:fill="F5F8FF"/>
            <w:tcBorders>
              <w:top w:val="single" w:sz="4" w:color="C8D6EE"/>
              <w:left w:val="single" w:sz="4" w:color="C8D6EE"/>
              <w:bottom w:val="single" w:sz="4" w:color="C8D6EE"/>
              <w:right w:val="single" w:sz="4" w:color="C8D6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0" w:after="0" w:line="317" w:lineRule="auto"/>
            </w:pPr>
            <w:r/>
            <w:r>
              <w:rPr>
                <w:rFonts w:ascii="Calibri" w:hAnsi="Calibri" w:cs="Calibri"/>
                <w:b w:val="0"/>
                <w:i/>
                <w:color w:val="3C4043"/>
                <w:sz w:val="19"/>
              </w:rPr>
              <w:t>Read three live agent outputs side-by-side with the same prompt run on a vanilla model. If a customer can't tell which is yours, your context layer isn't loaded.</w:t>
            </w:r>
          </w:p>
        </w:tc>
        <w:tc>
          <w:tcPr>
            <w:tcW w:type="dxa" w:w="1739"/>
            <w:shd w:val="clear" w:color="auto" w:fill="F5F8FF"/>
            <w:tcBorders>
              <w:top w:val="single" w:sz="4" w:color="C8D6EE"/>
              <w:left w:val="single" w:sz="4" w:color="C8D6EE"/>
              <w:bottom w:val="single" w:sz="4" w:color="C8D6EE"/>
              <w:right w:val="single" w:sz="4" w:color="C8D6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0" w:after="0" w:line="317" w:lineRule="auto"/>
            </w:pPr>
            <w:r/>
            <w:r>
              <w:rPr>
                <w:rFonts w:ascii="Calibri" w:hAnsi="Calibri" w:cs="Calibri"/>
                <w:b w:val="0"/>
                <w:i/>
                <w:color w:val="3C4043"/>
                <w:sz w:val="19"/>
              </w:rPr>
              <w:t>Pick a pilot that worked 6+ months ago. Count how many other teams now run it. If the answer is &lt; 3, the absorber is rejecting, not absorbing.</w:t>
            </w:r>
          </w:p>
        </w:tc>
        <w:tc>
          <w:tcPr>
            <w:tcW w:type="dxa" w:w="1739"/>
            <w:shd w:val="clear" w:color="auto" w:fill="F5F8FF"/>
            <w:tcBorders>
              <w:top w:val="single" w:sz="4" w:color="C8D6EE"/>
              <w:left w:val="single" w:sz="4" w:color="C8D6EE"/>
              <w:bottom w:val="single" w:sz="4" w:color="C8D6EE"/>
              <w:right w:val="single" w:sz="4" w:color="C8D6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0" w:after="0" w:line="317" w:lineRule="auto"/>
            </w:pPr>
            <w:r/>
            <w:r>
              <w:rPr>
                <w:rFonts w:ascii="Calibri" w:hAnsi="Calibri" w:cs="Calibri"/>
                <w:b w:val="0"/>
                <w:i/>
                <w:color w:val="3C4043"/>
                <w:sz w:val="19"/>
              </w:rPr>
              <w:t>For every active pilot, list its production gate (what evidence ships it). If 'Phase 2 governance review' appears more than once, you've named the bottleneck.</w:t>
            </w:r>
          </w:p>
        </w:tc>
      </w:tr>
    </w:tbl>
    <w:p>
      <w:pPr>
        <w:spacing w:before="0" w:after="0" w:line="336" w:lineRule="auto"/>
      </w:pPr>
      <w:r>
        <w:rPr>
          <w:rFonts w:ascii="Calibri" w:hAnsi="Calibri" w:cs="Calibri"/>
          <w:b w:val="0"/>
          <w:i w:val="0"/>
          <w:color w:val="1A1F24"/>
          <w:sz w:val="8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  <w:tblW w:w="10440" w:type="dxa"/>
      </w:tblPr>
      <w:tblGrid>
        <w:gridCol w:w="10440"/>
      </w:tblGrid>
      <w:tblGrid>
        <w:gridCol w:w="10432"/>
      </w:tblGrid>
      <w:tr>
        <w:tc>
          <w:tcPr>
            <w:tcW w:type="dxa" w:w="10431"/>
            <w:shd w:val="clear" w:color="auto" w:fill="174EA6"/>
            <w:tcBorders>
              <w:top w:val="single" w:sz="4" w:color="0A2A5E"/>
              <w:left w:val="single" w:sz="4" w:color="0A2A5E"/>
              <w:bottom w:val="single" w:sz="4" w:color="0A2A5E"/>
              <w:right w:val="single" w:sz="4" w:color="0A2A5E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>
            <w:pPr>
              <w:spacing w:before="0" w:after="40" w:line="240" w:lineRule="auto"/>
            </w:pPr>
            <w:r/>
            <w:r>
              <w:rPr>
                <w:rFonts w:ascii="Calibri" w:hAnsi="Calibri" w:cs="Calibri"/>
                <w:b/>
                <w:i w:val="0"/>
                <w:color w:val="9FD0FF"/>
                <w:sz w:val="20"/>
              </w:rPr>
              <w:t>THE MOVE</w:t>
            </w:r>
          </w:p>
          <w:p>
            <w:pPr>
              <w:spacing w:before="0" w:after="0" w:line="336" w:lineRule="auto"/>
            </w:pPr>
            <w:r>
              <w:rPr>
                <w:rFonts w:ascii="Calibri" w:hAnsi="Calibri" w:cs="Calibri"/>
                <w:b w:val="0"/>
                <w:i w:val="0"/>
                <w:color w:val="FFFFFF"/>
                <w:sz w:val="18"/>
              </w:rPr>
              <w:t xml:space="preserve">5-min, 25-question diagnostic. Score, archetype, named pathology. </w:t>
            </w:r>
            <w:r>
              <w:rPr>
                <w:rFonts w:ascii="Calibri" w:hAnsi="Calibri" w:cs="Calibri"/>
                <w:b/>
                <w:i w:val="0"/>
                <w:color w:val="FFFFFF"/>
                <w:sz w:val="18"/>
              </w:rPr>
              <w:t>omiindex.com/assessment/radar</w:t>
            </w:r>
            <w:r>
              <w:rPr>
                <w:rFonts w:ascii="Calibri" w:hAnsi="Calibri" w:cs="Calibri"/>
                <w:b w:val="0"/>
                <w:i w:val="0"/>
                <w:color w:val="9FD0FF"/>
                <w:sz w:val="17"/>
              </w:rPr>
              <w:t xml:space="preserve">   ·   Rahul Jindal  ·  byrxj.com  ·  Stack: RADAR · OMI · EMI</w:t>
            </w:r>
          </w:p>
        </w:tc>
      </w:tr>
    </w:tbl>
    <w:sectPr w:rsidR="00FC693F" w:rsidRPr="0006063C" w:rsidSect="00034616">
      <w:pgSz w:w="11906" w:h="16838"/>
      <w:pgMar w:top="624" w:right="73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88" w:lineRule="auto"/>
    </w:pPr>
    <w:rPr>
      <w:rFonts w:ascii="Calibri" w:hAnsi="Calibri"/>
      <w:color w:val="1A1F24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80"/>
      <w:outlineLvl w:val="0"/>
    </w:pPr>
    <w:rPr>
      <w:rFonts w:asciiTheme="majorHAnsi" w:eastAsiaTheme="majorEastAsia" w:hAnsiTheme="majorHAnsi" w:cstheme="majorBidi" w:ascii="Calibri" w:hAnsi="Calibri"/>
      <w:b/>
      <w:bCs/>
      <w:color w:val="202124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20212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02124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