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6803"/>
        <w:gridCol w:w="3628"/>
      </w:tblGrid>
      <w:tr>
        <w:tc>
          <w:tcPr>
            <w:tcW w:type="dxa" w:w="5216"/>
            <w:tcBorders>
              <w:top w:val="nil"/>
              <w:left w:val="nil"/>
              <w:bottom w:val="single" w:sz="6" w:color="DADCE0"/>
              <w:right w:val="nil"/>
            </w:tcBorders>
            <w:tcMar>
              <w:top w:w="20" w:type="dxa"/>
              <w:left w:w="0" w:type="dxa"/>
              <w:bottom w:w="60" w:type="dxa"/>
              <w:right w:w="0" w:type="dxa"/>
            </w:tcMar>
          </w:tcPr>
          <w:p>
            <w:pPr>
              <w:spacing w:before="0" w:after="0" w:line="240" w:lineRule="auto"/>
            </w:pPr>
            <w:r>
              <w:rPr>
                <w:rFonts w:ascii="Calibri" w:hAnsi="Calibri" w:cs="Calibri"/>
                <w:b/>
                <w:i w:val="0"/>
                <w:color w:val="174EA6"/>
                <w:sz w:val="15"/>
              </w:rPr>
              <w:t>RADAR · A DIAGNOSTIC FOR AI TRANSFORMATIONS THAT WON'T SHIP</w:t>
            </w:r>
          </w:p>
        </w:tc>
        <w:tc>
          <w:tcPr>
            <w:tcW w:type="dxa" w:w="5216"/>
            <w:tcBorders>
              <w:top w:val="nil"/>
              <w:left w:val="nil"/>
              <w:bottom w:val="single" w:sz="6" w:color="DADCE0"/>
              <w:right w:val="nil"/>
            </w:tcBorders>
            <w:tcMar>
              <w:top w:w="20" w:type="dxa"/>
              <w:left w:w="0" w:type="dxa"/>
              <w:bottom w:w="60" w:type="dxa"/>
              <w:right w:w="0" w:type="dxa"/>
            </w:tcMar>
          </w:tcPr>
          <w:p>
            <w:pPr>
              <w:spacing w:before="0" w:after="0" w:line="240" w:lineRule="auto"/>
              <w:jc w:val="right"/>
            </w:pPr>
            <w:r>
              <w:rPr>
                <w:rFonts w:ascii="Calibri" w:hAnsi="Calibri" w:cs="Calibri"/>
                <w:b w:val="0"/>
                <w:i w:val="0"/>
                <w:color w:val="5F6368"/>
                <w:sz w:val="15"/>
              </w:rPr>
              <w:t>Prepared for VP+ readers · 2026</w:t>
            </w:r>
          </w:p>
        </w:tc>
      </w:tr>
    </w:tbl>
    <w:p>
      <w:pPr>
        <w:spacing w:before="200" w:after="80" w:line="250" w:lineRule="auto"/>
      </w:pPr>
      <w:r>
        <w:rPr>
          <w:rFonts w:ascii="Calibri" w:hAnsi="Calibri" w:cs="Calibri"/>
          <w:b/>
          <w:i w:val="0"/>
          <w:color w:val="202124"/>
          <w:sz w:val="56"/>
        </w:rPr>
        <w:t>RADAR.</w:t>
      </w:r>
      <w:r>
        <w:rPr>
          <w:rFonts w:ascii="Calibri" w:hAnsi="Calibri" w:cs="Calibri"/>
          <w:b/>
          <w:i w:val="0"/>
          <w:color w:val="174EA6"/>
          <w:sz w:val="36"/>
        </w:rPr>
        <w:t xml:space="preserve">  Five signals every AI transformation must transmit.</w:t>
      </w:r>
    </w:p>
    <w:p>
      <w:pPr>
        <w:spacing w:before="0" w:after="240" w:line="312" w:lineRule="auto"/>
      </w:pPr>
      <w:r>
        <w:rPr>
          <w:rFonts w:ascii="Calibri" w:hAnsi="Calibri" w:cs="Calibri"/>
          <w:b w:val="0"/>
          <w:i/>
          <w:color w:val="1A1F24"/>
          <w:sz w:val="24"/>
        </w:rPr>
        <w:t>Miss any one, and the outcome is predictable. The reverse-lookup is the diagnostic. When a signal is missing, the organization presents with a named pathology a leader can recognize in their own org in under a minute.</w:t>
      </w:r>
    </w:p>
    <w:p>
      <w:pPr>
        <w:spacing w:before="0" w:after="160" w:line="348" w:lineRule="auto"/>
      </w:pPr>
      <w:r>
        <w:rPr>
          <w:rFonts w:ascii="Calibri" w:hAnsi="Calibri" w:cs="Calibri"/>
          <w:b w:val="0"/>
          <w:i w:val="0"/>
          <w:color w:val="1A1F24"/>
          <w:sz w:val="23"/>
        </w:rPr>
        <w:t>Why is your AI transformation stuck? Almost every diagnosis a leader gets is generic: change management, data readiness, talent gaps. RADAR is a five-signal diagnostic that names the specific failure mode behind each stall. The five signals (Reimagination, Agentification, Data and Context, Absorption, Rails) are what an AI program needs to transmit for production outcomes to compound. The framework is built to be used in fifteen minutes, not consumed in a sixty-page report.</w:t>
      </w:r>
    </w:p>
    <w:p>
      <w:pPr>
        <w:spacing w:before="0" w:after="160" w:line="348" w:lineRule="auto"/>
      </w:pPr>
      <w:r>
        <w:rPr>
          <w:rFonts w:ascii="Calibri" w:hAnsi="Calibri" w:cs="Calibri"/>
          <w:b w:val="0"/>
          <w:i w:val="0"/>
          <w:color w:val="1A1F24"/>
          <w:sz w:val="23"/>
        </w:rPr>
        <w:t>Reimagination asks whether work is being redesigned, or AI is being layered onto workflows that should have been retired. When this signal is missing, the organization presents with Faster Horses: AI is accelerating cowpaths and the program calls it transformation. Agentification asks whether agents are actually deployed and accountable, or stuck in pilot decks. When this signal is missing, the organization presents with PowerPoint AI: more strategy slides than production agents, and outcome metrics that quietly switch to activity metrics. Data and Context asks whether agents have the proprietary context that makes them yours, not generic. When this signal is missing, the organization presents with Hallucination: outputs indistinguishable from a competitor using the same vanilla model.</w:t>
      </w:r>
    </w:p>
    <w:p>
      <w:pPr>
        <w:spacing w:before="0" w:after="160" w:line="348" w:lineRule="auto"/>
      </w:pPr>
      <w:r>
        <w:rPr>
          <w:rFonts w:ascii="Calibri" w:hAnsi="Calibri" w:cs="Calibri"/>
          <w:b w:val="0"/>
          <w:i w:val="0"/>
          <w:color w:val="1A1F24"/>
          <w:sz w:val="23"/>
        </w:rPr>
        <w:t>Absorption asks how quickly the rest of the organization adopts something that already worked. When this signal is missing, the organization presents with Organ Rejection: each new team starts from zero, and proven pilots never multiply. Rails asks whether trust, governance, and kill-switches are designed in from week one. When this signal is missing, the organization presents with Pilot Purgatory: endless POCs that never graduate, because leadership won't sign off without governance and governance is treated as a Phase 2 problem. Pilot Purgatory is the single largest hidden cost in enterprise AI today.</w:t>
      </w:r>
    </w:p>
    <w:p>
      <w:pPr>
        <w:spacing w:before="0" w:after="200" w:line="348" w:lineRule="auto"/>
      </w:pPr>
      <w:r>
        <w:rPr>
          <w:rFonts w:ascii="Calibri" w:hAnsi="Calibri" w:cs="Calibri"/>
          <w:b w:val="0"/>
          <w:i w:val="0"/>
          <w:color w:val="1A1F24"/>
          <w:sz w:val="23"/>
        </w:rPr>
        <w:t>The framework is paired with a five-minute, twenty-five-question diagnostic that returns a score, an archetype placement, and the named pathology a team is closest to. The score is the score; the pathology name is what makes a leader stop and act. RADAR is one of three frameworks in a wider stack: OMI measures organizational metabolism (how fast the body absorbs change), EMI measures organizational immunity (whether absorption is healthy or autoimmune), and RADAR measures transmission (whether the AI input itself is complete). Most stalls misdiagnose at the absorber when the failure is at the transmitter.</w:t>
      </w:r>
    </w:p>
    <w:tbl>
      <w:tblPr>
        <w:tblW w:type="auto" w:w="0"/>
        <w:tblLayout w:type="fixed"/>
        <w:tblLook w:firstColumn="1" w:firstRow="1" w:lastColumn="0" w:lastRow="0" w:noHBand="0" w:noVBand="1" w:val="04A0"/>
        <w:tblW w:w="10440" w:type="dxa"/>
      </w:tblPr>
      <w:tblGrid>
        <w:gridCol w:w="10440"/>
      </w:tblGrid>
      <w:tblGrid>
        <w:gridCol w:w="10432"/>
      </w:tblGrid>
      <w:tr>
        <w:tc>
          <w:tcPr>
            <w:tcW w:type="dxa" w:w="10431"/>
            <w:shd w:val="clear" w:color="auto" w:fill="174EA6"/>
            <w:tcBorders>
              <w:top w:val="single" w:sz="4" w:color="0A2A5E"/>
              <w:left w:val="single" w:sz="4" w:color="0A2A5E"/>
              <w:bottom w:val="single" w:sz="4" w:color="0A2A5E"/>
              <w:right w:val="single" w:sz="4" w:color="0A2A5E"/>
            </w:tcBorders>
            <w:tcMar>
              <w:top w:w="110" w:type="dxa"/>
              <w:left w:w="140" w:type="dxa"/>
              <w:bottom w:w="110" w:type="dxa"/>
              <w:right w:w="140" w:type="dxa"/>
            </w:tcMar>
          </w:tcPr>
          <w:p>
            <w:pPr>
              <w:spacing w:before="0" w:after="40" w:line="240" w:lineRule="auto"/>
            </w:pPr>
            <w:r/>
            <w:r>
              <w:rPr>
                <w:rFonts w:ascii="Calibri" w:hAnsi="Calibri" w:cs="Calibri"/>
                <w:b/>
                <w:i w:val="0"/>
                <w:color w:val="9FD0FF"/>
                <w:sz w:val="20"/>
              </w:rPr>
              <w:t>WHERE TO TAKE IT</w:t>
            </w:r>
          </w:p>
          <w:p>
            <w:pPr>
              <w:spacing w:before="0" w:after="0" w:line="336" w:lineRule="auto"/>
            </w:pPr>
            <w:r>
              <w:rPr>
                <w:rFonts w:ascii="Calibri" w:hAnsi="Calibri" w:cs="Calibri"/>
                <w:b w:val="0"/>
                <w:i w:val="0"/>
                <w:color w:val="FFFFFF"/>
                <w:sz w:val="21"/>
              </w:rPr>
              <w:t xml:space="preserve">Diagnostic at </w:t>
            </w:r>
            <w:r>
              <w:rPr>
                <w:rFonts w:ascii="Calibri" w:hAnsi="Calibri" w:cs="Calibri"/>
                <w:b/>
                <w:i w:val="0"/>
                <w:color w:val="FFFFFF"/>
                <w:sz w:val="21"/>
              </w:rPr>
              <w:t>omiindex.com/assessment/radar</w:t>
            </w:r>
            <w:r>
              <w:rPr>
                <w:rFonts w:ascii="Calibri" w:hAnsi="Calibri" w:cs="Calibri"/>
                <w:b w:val="0"/>
                <w:i w:val="0"/>
                <w:color w:val="FFFFFF"/>
                <w:sz w:val="21"/>
              </w:rPr>
              <w:t xml:space="preserve">. Framework canon and pathology library at </w:t>
            </w:r>
            <w:r>
              <w:rPr>
                <w:rFonts w:ascii="Calibri" w:hAnsi="Calibri" w:cs="Calibri"/>
                <w:b/>
                <w:i w:val="0"/>
                <w:color w:val="FFFFFF"/>
                <w:sz w:val="21"/>
              </w:rPr>
              <w:t>omiindex.com/radar</w:t>
            </w:r>
            <w:r>
              <w:rPr>
                <w:rFonts w:ascii="Calibri" w:hAnsi="Calibri" w:cs="Calibri"/>
                <w:b w:val="0"/>
                <w:i w:val="0"/>
                <w:color w:val="FFFFFF"/>
                <w:sz w:val="21"/>
              </w:rPr>
              <w:t>. The full paper, the 1-pager, and the wider Adaptive Org stack are linked from there.</w:t>
            </w:r>
          </w:p>
        </w:tc>
      </w:tr>
    </w:tbl>
    <w:p>
      <w:pPr>
        <w:spacing w:before="280" w:after="0" w:line="317" w:lineRule="auto"/>
        <w:pBdr>
          <w:top w:val="single" w:sz="4" w:color="DADCE0" w:space="6"/>
        </w:pBdr>
      </w:pPr>
      <w:r>
        <w:rPr>
          <w:rFonts w:ascii="Calibri" w:hAnsi="Calibri" w:cs="Calibri"/>
          <w:b/>
          <w:i w:val="0"/>
          <w:color w:val="202124"/>
          <w:sz w:val="18"/>
        </w:rPr>
        <w:t xml:space="preserve">Author: </w:t>
      </w:r>
      <w:r>
        <w:rPr>
          <w:rFonts w:ascii="Calibri" w:hAnsi="Calibri" w:cs="Calibri"/>
          <w:b w:val="0"/>
          <w:i w:val="0"/>
          <w:color w:val="5F6368"/>
          <w:sz w:val="18"/>
        </w:rPr>
        <w:t>Rahul Jindal · byrxj.com · jindal.rahul@gmail.com.</w:t>
      </w:r>
    </w:p>
    <w:sectPr w:rsidR="00FC693F" w:rsidRPr="0006063C" w:rsidSect="00034616">
      <w:pgSz w:w="11906" w:h="16838"/>
      <w:pgMar w:top="737" w:right="737" w:bottom="624"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88" w:lineRule="auto"/>
    </w:pPr>
    <w:rPr>
      <w:rFonts w:ascii="Calibri" w:hAnsi="Calibri"/>
      <w:color w:val="1A1F24"/>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80"/>
      <w:outlineLvl w:val="0"/>
    </w:pPr>
    <w:rPr>
      <w:rFonts w:asciiTheme="majorHAnsi" w:eastAsiaTheme="majorEastAsia" w:hAnsiTheme="majorHAnsi" w:cstheme="majorBidi" w:ascii="Calibri" w:hAnsi="Calibri"/>
      <w:b/>
      <w:bCs/>
      <w:color w:val="202124"/>
      <w:sz w:val="44"/>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Calibri" w:hAnsi="Calibri"/>
      <w:b/>
      <w:bCs/>
      <w:color w:val="202124"/>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b/>
      <w:bCs/>
      <w:color w:val="20212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